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※重要時程</w:t>
      </w:r>
      <w:bookmarkStart w:id="0" w:name="_GoBack"/>
      <w:bookmarkEnd w:id="0"/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(1)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報名時間：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106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年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3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月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8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日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(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三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)-106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年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3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月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15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日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(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三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)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(2)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評審時間：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106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年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3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月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22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日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(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三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)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(3)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評審地點：臺中市立沙鹿工業高級中等學校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(4)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評審公告：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106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年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3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月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23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日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(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四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)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下午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4:00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前　於群科中心網站公告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 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【全國高級中等學校專業群科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106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年專題及創意競賽辦法】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※重要注意事項：</w:t>
      </w:r>
    </w:p>
    <w:p w:rsidR="005A6F8C" w:rsidRPr="005A6F8C" w:rsidRDefault="005A6F8C" w:rsidP="005A6F8C">
      <w:pPr>
        <w:widowControl/>
        <w:shd w:val="clear" w:color="auto" w:fill="FFFFFF"/>
        <w:spacing w:before="100" w:beforeAutospacing="1" w:after="100" w:afterAutospacing="1"/>
        <w:ind w:left="360"/>
        <w:rPr>
          <w:rFonts w:ascii="Times New Roman" w:eastAsia="新細明體" w:hAnsi="Times New Roman" w:cs="Times New Roman"/>
          <w:color w:val="222222"/>
          <w:kern w:val="0"/>
          <w:sz w:val="36"/>
          <w:szCs w:val="36"/>
        </w:rPr>
      </w:pPr>
      <w:r w:rsidRPr="005A6F8C">
        <w:rPr>
          <w:rFonts w:ascii="Times New Roman" w:eastAsia="新細明體" w:hAnsi="Times New Roman" w:cs="Times New Roman"/>
          <w:color w:val="222222"/>
          <w:kern w:val="0"/>
          <w:sz w:val="36"/>
          <w:szCs w:val="36"/>
        </w:rPr>
        <w:t>1.</w:t>
      </w:r>
      <w:r w:rsidRPr="005A6F8C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  </w:t>
      </w:r>
      <w:r w:rsidRPr="005A6F8C">
        <w:rPr>
          <w:rFonts w:ascii="新細明體" w:eastAsia="新細明體" w:hAnsi="新細明體" w:cs="Times New Roman" w:hint="eastAsia"/>
          <w:color w:val="222222"/>
          <w:kern w:val="0"/>
          <w:sz w:val="36"/>
          <w:szCs w:val="36"/>
        </w:rPr>
        <w:t>報名時可以不繳交影片檔，但請優勝隊伍於</w:t>
      </w:r>
      <w:r w:rsidRPr="005A6F8C">
        <w:rPr>
          <w:rFonts w:ascii="Times New Roman" w:eastAsia="新細明體" w:hAnsi="Times New Roman" w:cs="Times New Roman"/>
          <w:color w:val="222222"/>
          <w:kern w:val="0"/>
          <w:sz w:val="36"/>
          <w:szCs w:val="36"/>
        </w:rPr>
        <w:t>106</w:t>
      </w:r>
      <w:r w:rsidRPr="005A6F8C">
        <w:rPr>
          <w:rFonts w:ascii="新細明體" w:eastAsia="新細明體" w:hAnsi="新細明體" w:cs="Times New Roman" w:hint="eastAsia"/>
          <w:color w:val="222222"/>
          <w:kern w:val="0"/>
          <w:sz w:val="36"/>
          <w:szCs w:val="36"/>
        </w:rPr>
        <w:t>年</w:t>
      </w:r>
      <w:r w:rsidRPr="005A6F8C">
        <w:rPr>
          <w:rFonts w:ascii="Times New Roman" w:eastAsia="新細明體" w:hAnsi="Times New Roman" w:cs="Times New Roman"/>
          <w:color w:val="222222"/>
          <w:kern w:val="0"/>
          <w:sz w:val="36"/>
          <w:szCs w:val="36"/>
        </w:rPr>
        <w:t>3</w:t>
      </w:r>
      <w:r w:rsidRPr="005A6F8C">
        <w:rPr>
          <w:rFonts w:ascii="新細明體" w:eastAsia="新細明體" w:hAnsi="新細明體" w:cs="Times New Roman" w:hint="eastAsia"/>
          <w:color w:val="222222"/>
          <w:kern w:val="0"/>
          <w:sz w:val="36"/>
          <w:szCs w:val="36"/>
        </w:rPr>
        <w:t>月</w:t>
      </w:r>
      <w:r w:rsidRPr="005A6F8C">
        <w:rPr>
          <w:rFonts w:ascii="Times New Roman" w:eastAsia="新細明體" w:hAnsi="Times New Roman" w:cs="Times New Roman"/>
          <w:color w:val="222222"/>
          <w:kern w:val="0"/>
          <w:sz w:val="36"/>
          <w:szCs w:val="36"/>
        </w:rPr>
        <w:t>30</w:t>
      </w:r>
      <w:r w:rsidRPr="005A6F8C">
        <w:rPr>
          <w:rFonts w:ascii="新細明體" w:eastAsia="新細明體" w:hAnsi="新細明體" w:cs="Times New Roman" w:hint="eastAsia"/>
          <w:color w:val="222222"/>
          <w:kern w:val="0"/>
          <w:sz w:val="36"/>
          <w:szCs w:val="36"/>
        </w:rPr>
        <w:t>日</w:t>
      </w:r>
      <w:r w:rsidRPr="005A6F8C">
        <w:rPr>
          <w:rFonts w:ascii="Times New Roman" w:eastAsia="新細明體" w:hAnsi="Times New Roman" w:cs="Times New Roman"/>
          <w:color w:val="222222"/>
          <w:kern w:val="0"/>
          <w:sz w:val="36"/>
          <w:szCs w:val="36"/>
        </w:rPr>
        <w:t>(</w:t>
      </w:r>
      <w:r w:rsidRPr="005A6F8C">
        <w:rPr>
          <w:rFonts w:ascii="新細明體" w:eastAsia="新細明體" w:hAnsi="新細明體" w:cs="Times New Roman" w:hint="eastAsia"/>
          <w:color w:val="222222"/>
          <w:kern w:val="0"/>
          <w:sz w:val="36"/>
          <w:szCs w:val="36"/>
        </w:rPr>
        <w:t>四</w:t>
      </w:r>
      <w:r w:rsidRPr="005A6F8C">
        <w:rPr>
          <w:rFonts w:ascii="Times New Roman" w:eastAsia="新細明體" w:hAnsi="Times New Roman" w:cs="Times New Roman"/>
          <w:color w:val="222222"/>
          <w:kern w:val="0"/>
          <w:sz w:val="36"/>
          <w:szCs w:val="36"/>
        </w:rPr>
        <w:t>)</w:t>
      </w:r>
      <w:r w:rsidRPr="005A6F8C">
        <w:rPr>
          <w:rFonts w:ascii="新細明體" w:eastAsia="新細明體" w:hAnsi="新細明體" w:cs="Times New Roman" w:hint="eastAsia"/>
          <w:color w:val="222222"/>
          <w:kern w:val="0"/>
          <w:sz w:val="36"/>
          <w:szCs w:val="36"/>
        </w:rPr>
        <w:t>前繳交，逾期視同缺件，將取消優勝隊伍資格。</w:t>
      </w:r>
    </w:p>
    <w:p w:rsidR="005A6F8C" w:rsidRPr="005A6F8C" w:rsidRDefault="005A6F8C" w:rsidP="005A6F8C">
      <w:pPr>
        <w:widowControl/>
        <w:shd w:val="clear" w:color="auto" w:fill="FFFFFF"/>
        <w:spacing w:before="100" w:beforeAutospacing="1" w:after="100" w:afterAutospacing="1"/>
        <w:ind w:left="360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Times New Roman" w:eastAsia="新細明體" w:hAnsi="Times New Roman" w:cs="Times New Roman"/>
          <w:color w:val="222222"/>
          <w:kern w:val="0"/>
          <w:sz w:val="36"/>
          <w:szCs w:val="36"/>
        </w:rPr>
        <w:t>2.</w:t>
      </w:r>
      <w:r w:rsidRPr="005A6F8C">
        <w:rPr>
          <w:rFonts w:ascii="Times New Roman" w:eastAsia="新細明體" w:hAnsi="Times New Roman" w:cs="Times New Roman"/>
          <w:color w:val="222222"/>
          <w:kern w:val="0"/>
          <w:sz w:val="14"/>
          <w:szCs w:val="14"/>
        </w:rPr>
        <w:t>      </w:t>
      </w:r>
      <w:r w:rsidRPr="005A6F8C">
        <w:rPr>
          <w:rFonts w:ascii="新細明體" w:eastAsia="新細明體" w:hAnsi="新細明體" w:cs="Times New Roman" w:hint="eastAsia"/>
          <w:color w:val="222222"/>
          <w:kern w:val="0"/>
          <w:sz w:val="36"/>
          <w:szCs w:val="36"/>
        </w:rPr>
        <w:t>本群科中心學校已於今年</w:t>
      </w:r>
      <w:r w:rsidRPr="005A6F8C">
        <w:rPr>
          <w:rFonts w:ascii="Times New Roman" w:eastAsia="新細明體" w:hAnsi="Times New Roman" w:cs="Times New Roman"/>
          <w:color w:val="222222"/>
          <w:kern w:val="0"/>
          <w:sz w:val="36"/>
          <w:szCs w:val="36"/>
        </w:rPr>
        <w:t>1</w:t>
      </w:r>
      <w:r w:rsidRPr="005A6F8C">
        <w:rPr>
          <w:rFonts w:ascii="新細明體" w:eastAsia="新細明體" w:hAnsi="新細明體" w:cs="Times New Roman" w:hint="eastAsia"/>
          <w:color w:val="222222"/>
          <w:kern w:val="0"/>
          <w:sz w:val="36"/>
          <w:szCs w:val="36"/>
        </w:rPr>
        <w:t>月改隸，正式校名為「臺中市立沙鹿工業高級中等學校」。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※更動內容：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1. 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新增→陸、參賽限制級規定，第六點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2. 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新增→陸、參賽限制級規定，第十一點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3. 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更動→捌、報名方式，影片繳交規定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4. 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新增→捌、報名方式，參賽作品頁數限制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5. 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更動→拾、評審標準，專題組之配分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6. 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更動→拾壹、獎勵方式，得獎件數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7. 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新增→拾貳、注意事項，第一點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8. 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新增→拾貳、注意事項，第二點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9. 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新增→拾貳、注意事項，第三點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 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※詳細資料請參照以下檔案：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1.  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全國高級中等學校化工群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106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年專題及創意製作競賽複賽實施計畫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(WORD)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2.  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全國高級中等學校化工群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106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年專題及創意製作競賽複賽實施計畫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(PDF)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3. 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附件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14-1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、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14-2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決賽作品展版規格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(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專題組適用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)</w:t>
      </w:r>
    </w:p>
    <w:p w:rsidR="005A6F8C" w:rsidRPr="005A6F8C" w:rsidRDefault="005A6F8C" w:rsidP="005A6F8C">
      <w:pPr>
        <w:widowControl/>
        <w:shd w:val="clear" w:color="auto" w:fill="FFFFFF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4. 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附件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16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、決賽作品展版規格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(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創意組適用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)</w:t>
      </w:r>
    </w:p>
    <w:p w:rsidR="00257A84" w:rsidRPr="005A6F8C" w:rsidRDefault="005A6F8C" w:rsidP="005A6F8C">
      <w:pPr>
        <w:widowControl/>
        <w:shd w:val="clear" w:color="auto" w:fill="FFFFFF"/>
      </w:pP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5. 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其他附件可於「第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  <w:lang w:val="x-none"/>
        </w:rPr>
        <w:t>7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屆專題暨創意競賽暨展覽計畫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  <w:lang w:val="x-none"/>
        </w:rPr>
        <w:t>(106)</w:t>
      </w:r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Pr="005A6F8C">
        <w:rPr>
          <w:rFonts w:ascii="新細明體" w:eastAsia="新細明體" w:hAnsi="新細明體" w:cs="新細明體"/>
          <w:color w:val="222222"/>
          <w:kern w:val="0"/>
          <w:szCs w:val="24"/>
        </w:rPr>
        <w:t> </w:t>
      </w:r>
      <w:hyperlink r:id="rId5" w:tgtFrame="_blank" w:history="1">
        <w:r w:rsidRPr="005A6F8C">
          <w:rPr>
            <w:rFonts w:ascii="新細明體" w:eastAsia="新細明體" w:hAnsi="新細明體" w:cs="新細明體"/>
            <w:color w:val="1155CC"/>
            <w:kern w:val="0"/>
            <w:szCs w:val="24"/>
            <w:u w:val="single"/>
            <w:lang w:val="x-none"/>
          </w:rPr>
          <w:t>http://vtedu.mt.ntnu.edu.tw/vtedu/node/363</w:t>
        </w:r>
      </w:hyperlink>
      <w:r w:rsidRPr="005A6F8C">
        <w:rPr>
          <w:rFonts w:ascii="新細明體" w:eastAsia="新細明體" w:hAnsi="新細明體" w:cs="新細明體" w:hint="eastAsia"/>
          <w:color w:val="222222"/>
          <w:kern w:val="0"/>
          <w:szCs w:val="24"/>
        </w:rPr>
        <w:t>」中下載。</w:t>
      </w:r>
    </w:p>
    <w:sectPr w:rsidR="00257A84" w:rsidRPr="005A6F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8C"/>
    <w:rsid w:val="00257A84"/>
    <w:rsid w:val="005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6F8C"/>
  </w:style>
  <w:style w:type="paragraph" w:customStyle="1" w:styleId="m-1425457320508501159gmail-msolistparagraph">
    <w:name w:val="m_-1425457320508501159gmail-msolistparagraph"/>
    <w:basedOn w:val="a"/>
    <w:rsid w:val="005A6F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A6F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6F8C"/>
  </w:style>
  <w:style w:type="paragraph" w:customStyle="1" w:styleId="m-1425457320508501159gmail-msolistparagraph">
    <w:name w:val="m_-1425457320508501159gmail-msolistparagraph"/>
    <w:basedOn w:val="a"/>
    <w:rsid w:val="005A6F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A6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tedu.mt.ntnu.edu.tw/vtedu/node/3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2017-02-15T03:22:00Z</dcterms:created>
  <dcterms:modified xsi:type="dcterms:W3CDTF">2017-02-15T03:23:00Z</dcterms:modified>
</cp:coreProperties>
</file>